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20" w:lineRule="exact"/>
        <w:jc w:val="center"/>
        <w:rPr>
          <w:rFonts w:hint="eastAsia" w:ascii="仿宋" w:hAnsi="仿宋" w:eastAsia="仿宋" w:cs="Times New Roman"/>
          <w:b/>
          <w:bCs w:val="0"/>
          <w:sz w:val="24"/>
          <w:szCs w:val="24"/>
          <w:highlight w:val="none"/>
          <w:lang w:val="en-US" w:eastAsia="zh-CN"/>
        </w:rPr>
      </w:pPr>
      <w:r>
        <w:rPr>
          <w:rFonts w:hint="eastAsia" w:ascii="仿宋" w:hAnsi="仿宋" w:eastAsia="仿宋" w:cs="Times New Roman"/>
          <w:b/>
          <w:bCs w:val="0"/>
          <w:sz w:val="24"/>
          <w:szCs w:val="24"/>
          <w:highlight w:val="none"/>
          <w:lang w:val="en-US" w:eastAsia="zh-CN"/>
        </w:rPr>
        <w:t>国网山东省电力公司德州供电公司德州化工（恒升）220kV输变电工程竣工环境保护验收其它需要说明的事项</w:t>
      </w:r>
    </w:p>
    <w:p>
      <w:pPr>
        <w:pStyle w:val="2"/>
        <w:snapToGrid w:val="0"/>
        <w:spacing w:line="520" w:lineRule="exact"/>
        <w:ind w:firstLine="480" w:firstLineChars="200"/>
        <w:jc w:val="both"/>
        <w:rPr>
          <w:rFonts w:hint="eastAsia" w:ascii="仿宋" w:hAnsi="仿宋" w:eastAsia="仿宋" w:cs="Times New Roman"/>
          <w:bCs/>
          <w:sz w:val="24"/>
          <w:szCs w:val="24"/>
          <w:highlight w:val="none"/>
          <w:lang w:val="en-US" w:eastAsia="zh-CN"/>
        </w:rPr>
      </w:pPr>
      <w:r>
        <w:rPr>
          <w:rFonts w:hint="eastAsia" w:ascii="仿宋" w:hAnsi="仿宋" w:eastAsia="仿宋" w:cs="Times New Roman"/>
          <w:bCs/>
          <w:sz w:val="24"/>
          <w:szCs w:val="24"/>
          <w:highlight w:val="none"/>
          <w:lang w:val="en-US" w:eastAsia="zh-CN"/>
        </w:rPr>
        <w:t>根据《建设项目环境保护管理条例》和《建设项目竣工环境保护验收暂行办法》要求，2022年8月16日，国网山东省电力公司德州供电公司组织成立验收工作组并召开了国网山东省电力公司德州供电公司德州化工（恒升）220kV输变电工程竣工环境保护验收会。现将该工程环境保护设施设计、施工和验收过程简况、环境影响报告表及其审批部门审批决定中提出的除环境保护设施外的其他环境保护对策措施的实施情况等其它需要说明事项说明如下：</w:t>
      </w:r>
    </w:p>
    <w:p>
      <w:pPr>
        <w:pStyle w:val="2"/>
        <w:snapToGrid w:val="0"/>
        <w:spacing w:line="520" w:lineRule="exact"/>
        <w:ind w:firstLine="482" w:firstLineChars="200"/>
        <w:jc w:val="both"/>
        <w:rPr>
          <w:rFonts w:hint="eastAsia" w:ascii="仿宋" w:hAnsi="仿宋" w:eastAsia="仿宋" w:cs="Times New Roman"/>
          <w:b/>
          <w:bCs w:val="0"/>
          <w:sz w:val="24"/>
          <w:szCs w:val="24"/>
          <w:highlight w:val="none"/>
          <w:lang w:val="en-US" w:eastAsia="zh-CN"/>
        </w:rPr>
      </w:pPr>
      <w:r>
        <w:rPr>
          <w:rFonts w:hint="eastAsia" w:ascii="仿宋" w:hAnsi="仿宋" w:eastAsia="仿宋" w:cs="Times New Roman"/>
          <w:b/>
          <w:bCs w:val="0"/>
          <w:sz w:val="24"/>
          <w:szCs w:val="24"/>
          <w:highlight w:val="none"/>
          <w:lang w:val="en-US" w:eastAsia="zh-CN"/>
        </w:rPr>
        <w:t xml:space="preserve"> 一、环境保护设施设计、施工和验收过程简况 </w:t>
      </w:r>
    </w:p>
    <w:p>
      <w:pPr>
        <w:pStyle w:val="2"/>
        <w:snapToGrid w:val="0"/>
        <w:spacing w:line="520" w:lineRule="exact"/>
        <w:ind w:firstLine="480" w:firstLineChars="200"/>
        <w:jc w:val="both"/>
        <w:rPr>
          <w:rFonts w:hint="eastAsia" w:ascii="仿宋" w:hAnsi="仿宋" w:eastAsia="仿宋" w:cs="Times New Roman"/>
          <w:b w:val="0"/>
          <w:bCs/>
          <w:sz w:val="24"/>
          <w:szCs w:val="24"/>
          <w:highlight w:val="none"/>
          <w:lang w:val="en-US" w:eastAsia="zh-CN"/>
        </w:rPr>
      </w:pPr>
      <w:r>
        <w:rPr>
          <w:rFonts w:hint="eastAsia" w:ascii="仿宋" w:hAnsi="仿宋" w:eastAsia="仿宋" w:cs="Times New Roman"/>
          <w:b w:val="0"/>
          <w:bCs/>
          <w:sz w:val="24"/>
          <w:szCs w:val="24"/>
          <w:highlight w:val="none"/>
          <w:lang w:val="en-US" w:eastAsia="zh-CN"/>
        </w:rPr>
        <w:t xml:space="preserve">1.1 设计简况 </w:t>
      </w:r>
    </w:p>
    <w:p>
      <w:pPr>
        <w:pStyle w:val="2"/>
        <w:snapToGrid w:val="0"/>
        <w:spacing w:line="520" w:lineRule="exact"/>
        <w:ind w:firstLine="480" w:firstLineChars="200"/>
        <w:jc w:val="both"/>
        <w:rPr>
          <w:rFonts w:hint="eastAsia" w:ascii="仿宋" w:hAnsi="仿宋" w:eastAsia="仿宋" w:cs="Times New Roman"/>
          <w:bCs/>
          <w:sz w:val="24"/>
          <w:szCs w:val="24"/>
          <w:highlight w:val="none"/>
          <w:lang w:val="en-US" w:eastAsia="zh-CN"/>
        </w:rPr>
      </w:pPr>
      <w:r>
        <w:rPr>
          <w:rFonts w:hint="eastAsia" w:ascii="仿宋" w:hAnsi="仿宋" w:eastAsia="仿宋" w:cs="Times New Roman"/>
          <w:bCs/>
          <w:sz w:val="24"/>
          <w:szCs w:val="24"/>
          <w:highlight w:val="none"/>
          <w:lang w:val="en-US" w:eastAsia="zh-CN"/>
        </w:rPr>
        <w:t>国网山东省电力公司德州供电公司环境保护设施纳入了初步设计，环境保护设施的设计符合环境保护设计规范要求，编制了环境保护篇章，落实了防止污染和生态破坏措施及环境保护设施投资概算。</w:t>
      </w:r>
    </w:p>
    <w:p>
      <w:pPr>
        <w:pStyle w:val="2"/>
        <w:snapToGrid w:val="0"/>
        <w:spacing w:line="520" w:lineRule="exact"/>
        <w:ind w:firstLine="480" w:firstLineChars="200"/>
        <w:jc w:val="both"/>
        <w:rPr>
          <w:rFonts w:hint="eastAsia" w:ascii="仿宋" w:hAnsi="仿宋" w:eastAsia="仿宋" w:cs="Times New Roman"/>
          <w:bCs/>
          <w:sz w:val="24"/>
          <w:szCs w:val="24"/>
          <w:highlight w:val="none"/>
          <w:lang w:val="en-US" w:eastAsia="zh-CN"/>
        </w:rPr>
      </w:pPr>
      <w:r>
        <w:rPr>
          <w:rFonts w:hint="eastAsia" w:ascii="仿宋" w:hAnsi="仿宋" w:eastAsia="仿宋" w:cs="Times New Roman"/>
          <w:bCs/>
          <w:sz w:val="24"/>
          <w:szCs w:val="24"/>
          <w:highlight w:val="none"/>
          <w:lang w:val="en-US" w:eastAsia="zh-CN"/>
        </w:rPr>
        <w:t xml:space="preserve">1.2 施工简况 </w:t>
      </w:r>
    </w:p>
    <w:p>
      <w:pPr>
        <w:pStyle w:val="2"/>
        <w:snapToGrid w:val="0"/>
        <w:spacing w:line="520" w:lineRule="exact"/>
        <w:ind w:firstLine="480" w:firstLineChars="200"/>
        <w:jc w:val="both"/>
        <w:rPr>
          <w:rFonts w:hint="eastAsia" w:ascii="仿宋" w:hAnsi="仿宋" w:eastAsia="仿宋" w:cs="Times New Roman"/>
          <w:bCs/>
          <w:sz w:val="24"/>
          <w:szCs w:val="24"/>
          <w:highlight w:val="none"/>
          <w:lang w:val="en-US" w:eastAsia="zh-CN"/>
        </w:rPr>
      </w:pPr>
      <w:r>
        <w:rPr>
          <w:rFonts w:hint="eastAsia" w:ascii="仿宋" w:hAnsi="仿宋" w:eastAsia="仿宋" w:cs="Times New Roman"/>
          <w:bCs/>
          <w:sz w:val="24"/>
          <w:szCs w:val="24"/>
          <w:highlight w:val="none"/>
          <w:lang w:val="en-US" w:eastAsia="zh-CN"/>
        </w:rPr>
        <w:t xml:space="preserve">国网山东省电力公司德州供电公司德州化工（恒升）220kV输变电工程将环境保护设施纳入了施工合同，环境保护设施的建设进度和资金得到了保证，项目建设过程中组织实施了环境影响报告表及其审批部门审批决定中提出的环境保护对策措施。 </w:t>
      </w:r>
    </w:p>
    <w:p>
      <w:pPr>
        <w:pStyle w:val="2"/>
        <w:snapToGrid w:val="0"/>
        <w:spacing w:line="520" w:lineRule="exact"/>
        <w:ind w:firstLine="480" w:firstLineChars="200"/>
        <w:jc w:val="both"/>
        <w:rPr>
          <w:rFonts w:hint="eastAsia" w:ascii="仿宋" w:hAnsi="仿宋" w:eastAsia="仿宋" w:cs="Times New Roman"/>
          <w:bCs/>
          <w:sz w:val="24"/>
          <w:szCs w:val="24"/>
          <w:highlight w:val="none"/>
          <w:lang w:val="en-US" w:eastAsia="zh-CN"/>
        </w:rPr>
      </w:pPr>
      <w:r>
        <w:rPr>
          <w:rFonts w:hint="eastAsia" w:ascii="仿宋" w:hAnsi="仿宋" w:eastAsia="仿宋" w:cs="Times New Roman"/>
          <w:bCs/>
          <w:sz w:val="24"/>
          <w:szCs w:val="24"/>
          <w:highlight w:val="none"/>
          <w:lang w:val="en-US" w:eastAsia="zh-CN"/>
        </w:rPr>
        <w:t xml:space="preserve">1.3 验收简况 </w:t>
      </w:r>
    </w:p>
    <w:p>
      <w:pPr>
        <w:pStyle w:val="2"/>
        <w:snapToGrid w:val="0"/>
        <w:spacing w:line="520" w:lineRule="exact"/>
        <w:ind w:firstLine="480" w:firstLineChars="200"/>
        <w:jc w:val="both"/>
        <w:rPr>
          <w:rFonts w:hint="eastAsia" w:ascii="仿宋" w:hAnsi="仿宋" w:eastAsia="仿宋" w:cs="Times New Roman"/>
          <w:bCs/>
          <w:sz w:val="24"/>
          <w:szCs w:val="24"/>
          <w:highlight w:val="none"/>
          <w:lang w:val="en-US" w:eastAsia="zh-CN"/>
        </w:rPr>
      </w:pPr>
      <w:r>
        <w:rPr>
          <w:rFonts w:hint="eastAsia" w:ascii="仿宋" w:hAnsi="仿宋" w:eastAsia="仿宋" w:cs="Times New Roman"/>
          <w:bCs/>
          <w:sz w:val="24"/>
          <w:szCs w:val="24"/>
          <w:highlight w:val="none"/>
          <w:lang w:val="en-US" w:eastAsia="zh-CN"/>
        </w:rPr>
        <w:t>国网山东省电力公司德州供电公司德州化工（恒升）220kV输变电工程主体工程及环保工程全部建成，企业申请环保验收。</w:t>
      </w:r>
    </w:p>
    <w:p>
      <w:pPr>
        <w:pStyle w:val="2"/>
        <w:snapToGrid w:val="0"/>
        <w:spacing w:line="520" w:lineRule="exact"/>
        <w:ind w:firstLine="480" w:firstLineChars="200"/>
        <w:jc w:val="both"/>
        <w:rPr>
          <w:rFonts w:hint="eastAsia" w:ascii="仿宋" w:hAnsi="仿宋" w:eastAsia="仿宋" w:cs="Times New Roman"/>
          <w:bCs/>
          <w:sz w:val="24"/>
          <w:szCs w:val="24"/>
          <w:highlight w:val="none"/>
          <w:lang w:val="en-US" w:eastAsia="zh-CN"/>
        </w:rPr>
      </w:pPr>
      <w:r>
        <w:rPr>
          <w:rFonts w:hint="eastAsia" w:ascii="仿宋" w:hAnsi="仿宋" w:eastAsia="仿宋" w:cs="Times New Roman"/>
          <w:bCs/>
          <w:sz w:val="24"/>
          <w:szCs w:val="24"/>
          <w:highlight w:val="none"/>
          <w:lang w:val="en-US" w:eastAsia="zh-CN"/>
        </w:rPr>
        <w:t>国网山东省电力公司德州供电公司委托山东鲁环检测科技有限公司承担该项目竣工环境保护验收监测工作。山东鲁环检测科技有限公司于</w:t>
      </w:r>
      <w:r>
        <w:rPr>
          <w:rFonts w:hint="eastAsia" w:ascii="仿宋" w:hAnsi="仿宋" w:eastAsia="仿宋" w:cs="Times New Roman"/>
          <w:bCs/>
          <w:color w:val="000000" w:themeColor="text1"/>
          <w:sz w:val="24"/>
          <w:szCs w:val="24"/>
          <w:highlight w:val="none"/>
          <w:lang w:val="en-US" w:eastAsia="zh-CN"/>
          <w14:textFill>
            <w14:solidFill>
              <w14:schemeClr w14:val="tx1"/>
            </w14:solidFill>
          </w14:textFill>
        </w:rPr>
        <w:t>2022年6月8日~6月9日</w:t>
      </w:r>
      <w:r>
        <w:rPr>
          <w:rFonts w:hint="eastAsia" w:ascii="仿宋" w:hAnsi="仿宋" w:eastAsia="仿宋" w:cs="Times New Roman"/>
          <w:bCs/>
          <w:sz w:val="24"/>
          <w:szCs w:val="24"/>
          <w:highlight w:val="none"/>
          <w:lang w:val="en-US" w:eastAsia="zh-CN"/>
        </w:rPr>
        <w:t>进行了现场监测和环境管理检查。2022年6月，山东鲁环检测科技有限公司编制完成《国网山东省电力公司德州供电公司德州化工（恒升）220kV输变电工程竣工环境保护验收监测表》。2022年8月16日，国网山东省电力公司德州供电公司组织成立验收工作组并召开了国网山东省电力公司德州供电公司德州化工（恒升）220kV输变电工程竣工环境保护验收会，形成了验收组意见，验收合格，验收组提出后续要求及建议。</w:t>
      </w:r>
    </w:p>
    <w:p>
      <w:pPr>
        <w:pStyle w:val="2"/>
        <w:snapToGrid w:val="0"/>
        <w:spacing w:line="520" w:lineRule="exact"/>
        <w:ind w:firstLine="480" w:firstLineChars="200"/>
        <w:jc w:val="both"/>
        <w:rPr>
          <w:rFonts w:hint="eastAsia" w:ascii="仿宋" w:hAnsi="仿宋" w:eastAsia="仿宋" w:cs="Times New Roman"/>
          <w:b w:val="0"/>
          <w:bCs/>
          <w:sz w:val="24"/>
          <w:szCs w:val="24"/>
          <w:highlight w:val="none"/>
          <w:lang w:val="en-US" w:eastAsia="zh-CN"/>
        </w:rPr>
      </w:pPr>
      <w:r>
        <w:rPr>
          <w:rFonts w:hint="eastAsia" w:ascii="仿宋" w:hAnsi="仿宋" w:eastAsia="仿宋" w:cs="Times New Roman"/>
          <w:b w:val="0"/>
          <w:bCs/>
          <w:sz w:val="24"/>
          <w:szCs w:val="24"/>
          <w:highlight w:val="none"/>
          <w:lang w:val="en-US" w:eastAsia="zh-CN"/>
        </w:rPr>
        <w:t>1.4 公众反馈意见及处理情况</w:t>
      </w:r>
    </w:p>
    <w:p>
      <w:pPr>
        <w:pStyle w:val="2"/>
        <w:snapToGrid w:val="0"/>
        <w:spacing w:line="520" w:lineRule="exact"/>
        <w:ind w:firstLine="480" w:firstLineChars="200"/>
        <w:jc w:val="both"/>
        <w:rPr>
          <w:rFonts w:hint="eastAsia" w:ascii="仿宋" w:hAnsi="仿宋" w:eastAsia="仿宋" w:cs="Times New Roman"/>
          <w:bCs/>
          <w:sz w:val="24"/>
          <w:szCs w:val="24"/>
          <w:highlight w:val="none"/>
          <w:lang w:val="en-US" w:eastAsia="zh-CN"/>
        </w:rPr>
      </w:pPr>
      <w:r>
        <w:rPr>
          <w:rFonts w:hint="eastAsia" w:ascii="仿宋" w:hAnsi="仿宋" w:eastAsia="仿宋" w:cs="Times New Roman"/>
          <w:bCs/>
          <w:sz w:val="24"/>
          <w:szCs w:val="24"/>
          <w:highlight w:val="none"/>
          <w:lang w:val="en-US" w:eastAsia="zh-CN"/>
        </w:rPr>
        <w:t>工程“三同时”期间未收到过公众反馈意见或投诉。</w:t>
      </w:r>
    </w:p>
    <w:p>
      <w:pPr>
        <w:pStyle w:val="2"/>
        <w:numPr>
          <w:ilvl w:val="0"/>
          <w:numId w:val="0"/>
        </w:numPr>
        <w:snapToGrid w:val="0"/>
        <w:spacing w:line="520" w:lineRule="exact"/>
        <w:ind w:left="840" w:leftChars="0"/>
        <w:jc w:val="both"/>
        <w:rPr>
          <w:rFonts w:hint="eastAsia" w:ascii="仿宋" w:hAnsi="仿宋" w:eastAsia="仿宋" w:cs="Times New Roman"/>
          <w:b/>
          <w:bCs w:val="0"/>
          <w:sz w:val="24"/>
          <w:szCs w:val="24"/>
          <w:highlight w:val="none"/>
          <w:lang w:val="en-US" w:eastAsia="zh-CN"/>
        </w:rPr>
      </w:pPr>
      <w:r>
        <w:rPr>
          <w:rFonts w:hint="eastAsia" w:ascii="仿宋" w:hAnsi="仿宋" w:eastAsia="仿宋" w:cs="Times New Roman"/>
          <w:b/>
          <w:bCs w:val="0"/>
          <w:sz w:val="24"/>
          <w:szCs w:val="24"/>
          <w:highlight w:val="none"/>
          <w:lang w:val="en-US" w:eastAsia="zh-CN"/>
        </w:rPr>
        <w:t xml:space="preserve">二、整改完成情况 </w:t>
      </w:r>
    </w:p>
    <w:p>
      <w:pPr>
        <w:pStyle w:val="2"/>
        <w:numPr>
          <w:ilvl w:val="0"/>
          <w:numId w:val="0"/>
        </w:numPr>
        <w:snapToGrid w:val="0"/>
        <w:spacing w:line="520" w:lineRule="exact"/>
        <w:ind w:firstLine="480" w:firstLineChars="200"/>
        <w:jc w:val="both"/>
        <w:rPr>
          <w:rFonts w:hint="eastAsia" w:ascii="仿宋" w:hAnsi="仿宋" w:eastAsia="仿宋" w:cs="Times New Roman"/>
          <w:bCs/>
          <w:sz w:val="24"/>
          <w:szCs w:val="24"/>
          <w:highlight w:val="none"/>
          <w:lang w:val="en-US" w:eastAsia="zh-CN"/>
        </w:rPr>
      </w:pPr>
      <w:r>
        <w:rPr>
          <w:rFonts w:hint="eastAsia" w:ascii="仿宋" w:hAnsi="仿宋" w:eastAsia="仿宋" w:cs="Times New Roman"/>
          <w:bCs/>
          <w:sz w:val="24"/>
          <w:szCs w:val="24"/>
          <w:highlight w:val="none"/>
          <w:lang w:val="en-US" w:eastAsia="zh-CN"/>
        </w:rPr>
        <w:t xml:space="preserve">根据验收组提出的后续要求及建议，国网山东省电力公司德州供电公司于 2022年8月20日完成对本项目的优化整改。 </w:t>
      </w:r>
    </w:p>
    <w:p>
      <w:pPr>
        <w:pStyle w:val="2"/>
        <w:numPr>
          <w:ilvl w:val="0"/>
          <w:numId w:val="0"/>
        </w:numPr>
        <w:snapToGrid w:val="0"/>
        <w:spacing w:line="520" w:lineRule="exact"/>
        <w:ind w:firstLine="3120" w:firstLineChars="1300"/>
        <w:jc w:val="right"/>
        <w:rPr>
          <w:rFonts w:hint="eastAsia" w:ascii="仿宋" w:hAnsi="仿宋" w:eastAsia="仿宋" w:cs="Times New Roman"/>
          <w:bCs/>
          <w:sz w:val="24"/>
          <w:szCs w:val="24"/>
          <w:highlight w:val="none"/>
          <w:lang w:val="en-US" w:eastAsia="zh-CN"/>
        </w:rPr>
      </w:pPr>
    </w:p>
    <w:p>
      <w:pPr>
        <w:pStyle w:val="2"/>
        <w:numPr>
          <w:ilvl w:val="0"/>
          <w:numId w:val="0"/>
        </w:numPr>
        <w:snapToGrid w:val="0"/>
        <w:spacing w:line="520" w:lineRule="exact"/>
        <w:ind w:firstLine="3120" w:firstLineChars="1300"/>
        <w:jc w:val="right"/>
        <w:rPr>
          <w:rFonts w:hint="eastAsia" w:ascii="仿宋" w:hAnsi="仿宋" w:eastAsia="仿宋" w:cs="Times New Roman"/>
          <w:bCs/>
          <w:sz w:val="24"/>
          <w:szCs w:val="24"/>
          <w:highlight w:val="none"/>
          <w:lang w:val="en-US" w:eastAsia="zh-CN"/>
        </w:rPr>
      </w:pPr>
    </w:p>
    <w:p>
      <w:pPr>
        <w:pStyle w:val="2"/>
        <w:numPr>
          <w:ilvl w:val="0"/>
          <w:numId w:val="0"/>
        </w:numPr>
        <w:snapToGrid w:val="0"/>
        <w:spacing w:line="520" w:lineRule="exact"/>
        <w:ind w:firstLine="3120" w:firstLineChars="1300"/>
        <w:jc w:val="right"/>
        <w:rPr>
          <w:rFonts w:hint="eastAsia" w:ascii="仿宋" w:hAnsi="仿宋" w:eastAsia="仿宋" w:cs="Times New Roman"/>
          <w:bCs/>
          <w:sz w:val="24"/>
          <w:szCs w:val="24"/>
          <w:highlight w:val="none"/>
          <w:lang w:val="en-US" w:eastAsia="zh-CN"/>
        </w:rPr>
      </w:pPr>
      <w:r>
        <w:rPr>
          <w:rFonts w:hint="eastAsia" w:ascii="仿宋" w:hAnsi="仿宋" w:eastAsia="仿宋" w:cs="Times New Roman"/>
          <w:bCs/>
          <w:sz w:val="24"/>
          <w:szCs w:val="24"/>
          <w:highlight w:val="none"/>
          <w:lang w:val="en-US" w:eastAsia="zh-CN"/>
        </w:rPr>
        <w:t>国网山东省电力公司德州供电公司</w:t>
      </w:r>
    </w:p>
    <w:p>
      <w:pPr>
        <w:pStyle w:val="3"/>
        <w:widowControl w:val="0"/>
        <w:numPr>
          <w:ilvl w:val="0"/>
          <w:numId w:val="0"/>
        </w:numPr>
        <w:jc w:val="right"/>
        <w:rPr>
          <w:rFonts w:hint="eastAsia" w:cs="Times New Roman"/>
          <w:b/>
          <w:bCs/>
          <w:color w:val="auto"/>
          <w:sz w:val="28"/>
          <w:szCs w:val="40"/>
          <w:highlight w:val="none"/>
          <w:lang w:val="en-US" w:eastAsia="zh-CN"/>
        </w:rPr>
      </w:pPr>
      <w:r>
        <w:rPr>
          <w:rFonts w:hint="eastAsia" w:ascii="仿宋" w:hAnsi="仿宋" w:eastAsia="仿宋" w:cs="Times New Roman"/>
          <w:bCs/>
          <w:sz w:val="24"/>
          <w:szCs w:val="24"/>
          <w:highlight w:val="none"/>
          <w:lang w:val="en-US" w:eastAsia="zh-CN"/>
        </w:rPr>
        <w:t>2022年8月20</w:t>
      </w:r>
      <w:bookmarkStart w:id="0" w:name="_GoBack"/>
      <w:bookmarkEnd w:id="0"/>
      <w:r>
        <w:rPr>
          <w:rFonts w:hint="eastAsia" w:ascii="仿宋" w:hAnsi="仿宋" w:eastAsia="仿宋" w:cs="Times New Roman"/>
          <w:bCs/>
          <w:sz w:val="24"/>
          <w:szCs w:val="24"/>
          <w:highlight w:val="none"/>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AC927D"/>
    <w:multiLevelType w:val="singleLevel"/>
    <w:tmpl w:val="B5AC927D"/>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xNTQ4YzgyNGJhZWEwYzZhOGFhODBkZmJiYjNiNzUifQ=="/>
  </w:docVars>
  <w:rsids>
    <w:rsidRoot w:val="10B57938"/>
    <w:rsid w:val="10B57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widowControl/>
      <w:spacing w:line="357" w:lineRule="atLeast"/>
      <w:jc w:val="center"/>
      <w:textAlignment w:val="baseline"/>
    </w:pPr>
    <w:rPr>
      <w:rFonts w:hint="default" w:eastAsia="Times New Roman"/>
      <w:kern w:val="0"/>
      <w:sz w:val="20"/>
    </w:rPr>
  </w:style>
  <w:style w:type="paragraph" w:styleId="3">
    <w:name w:val="List Bullet 5"/>
    <w:basedOn w:val="1"/>
    <w:uiPriority w:val="0"/>
    <w:pPr>
      <w:numPr>
        <w:ilvl w:val="0"/>
        <w:numId w:val="1"/>
      </w:numP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2024-04-23T08:30:00Z</dcterms:created>
  <dc:creator>爱lu^ω^</dc:creator>
  <cp:lastModifiedBy>爱lu^ω^</cp:lastModifiedBy>
  <dcterms:modified xsi:type="dcterms:W3CDTF">2024-04-23T08:35:52Z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396F2F9A190D4AF89DFFCD5401FDE385_11</vt:lpwstr>
  </property>
</Properties>
</file>